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0B101" w14:textId="77777777" w:rsidR="00BC0DE7" w:rsidRDefault="00BC0DE7" w:rsidP="00BC0DE7">
      <w:pPr>
        <w:autoSpaceDE w:val="0"/>
        <w:autoSpaceDN w:val="0"/>
        <w:adjustRightInd w:val="0"/>
        <w:jc w:val="both"/>
        <w:rPr>
          <w:rFonts w:ascii="Arial" w:hAnsi="Arial" w:cs="Arial"/>
          <w:b/>
          <w:bCs/>
          <w:szCs w:val="22"/>
        </w:rPr>
      </w:pPr>
      <w:r w:rsidRPr="00FF1763">
        <w:rPr>
          <w:rFonts w:ascii="Arial" w:hAnsi="Arial" w:cs="Arial"/>
          <w:b/>
          <w:bCs/>
          <w:szCs w:val="22"/>
        </w:rPr>
        <w:t>HVDC Terminal Package (Package-I) for ±350kV, 4 x 1250MW VSC based Symmetric monopole (Parallel) HVDC link between Pang Pooling station (Leh) and Kaithal Pooling station (Haryana)</w:t>
      </w:r>
      <w:r>
        <w:rPr>
          <w:rFonts w:ascii="Arial" w:hAnsi="Arial" w:cs="Arial"/>
          <w:b/>
          <w:bCs/>
          <w:szCs w:val="22"/>
        </w:rPr>
        <w:t xml:space="preserve"> associated with Transmission system for evaluation of RE power from renewable energy parks in Leh.</w:t>
      </w:r>
    </w:p>
    <w:p w14:paraId="2E0F6973" w14:textId="77777777" w:rsidR="00EA4A3D" w:rsidRDefault="00EA4A3D" w:rsidP="00177A9C">
      <w:pPr>
        <w:spacing w:after="0" w:line="240" w:lineRule="auto"/>
        <w:jc w:val="center"/>
        <w:rPr>
          <w:rFonts w:ascii="Book Antiqua" w:hAnsi="Book Antiqua" w:cs="Arial"/>
          <w:b/>
          <w:bCs/>
          <w:szCs w:val="24"/>
        </w:rPr>
      </w:pPr>
    </w:p>
    <w:p w14:paraId="204D23FE"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4A6A7820" w14:textId="77777777"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14:paraId="5B8A0ECB" w14:textId="77777777" w:rsidTr="00177A9C">
        <w:tc>
          <w:tcPr>
            <w:tcW w:w="4621" w:type="dxa"/>
          </w:tcPr>
          <w:p w14:paraId="718F4DF2"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21AE3374"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2F8AA67" w14:textId="77777777"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8AE1347" w14:textId="77777777" w:rsidR="00177A9C" w:rsidRDefault="00177A9C" w:rsidP="00B109C3">
            <w:pPr>
              <w:tabs>
                <w:tab w:val="left" w:pos="720"/>
                <w:tab w:val="left" w:pos="1440"/>
                <w:tab w:val="left" w:pos="2160"/>
                <w:tab w:val="left" w:pos="3493"/>
              </w:tabs>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r w:rsidR="00B109C3">
              <w:rPr>
                <w:rFonts w:ascii="Book Antiqua" w:hAnsi="Book Antiqua"/>
                <w:lang w:val="en-IN"/>
              </w:rPr>
              <w:tab/>
            </w:r>
          </w:p>
        </w:tc>
        <w:tc>
          <w:tcPr>
            <w:tcW w:w="4621" w:type="dxa"/>
          </w:tcPr>
          <w:p w14:paraId="192646D0" w14:textId="77777777"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14:paraId="6C775FFE" w14:textId="77777777"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14:paraId="3AAA8996" w14:textId="77777777"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14:paraId="3B6D1224" w14:textId="77777777" w:rsidR="00177A9C" w:rsidRPr="00177A9C" w:rsidRDefault="00177A9C" w:rsidP="00177A9C">
            <w:pPr>
              <w:rPr>
                <w:rFonts w:ascii="Book Antiqua" w:hAnsi="Book Antiqua"/>
                <w:lang w:val="en-IN"/>
              </w:rPr>
            </w:pPr>
            <w:r w:rsidRPr="00177A9C">
              <w:rPr>
                <w:rFonts w:ascii="Book Antiqua" w:hAnsi="Book Antiqua"/>
                <w:lang w:val="en-IN"/>
              </w:rPr>
              <w:t>"Saudamini", Plot No. 2, Sector 29</w:t>
            </w:r>
            <w:r w:rsidRPr="00177A9C">
              <w:rPr>
                <w:rFonts w:ascii="Book Antiqua" w:hAnsi="Book Antiqua"/>
                <w:lang w:val="en-IN"/>
              </w:rPr>
              <w:tab/>
            </w:r>
            <w:r w:rsidRPr="00177A9C">
              <w:rPr>
                <w:rFonts w:ascii="Book Antiqua" w:hAnsi="Book Antiqua"/>
                <w:lang w:val="en-IN"/>
              </w:rPr>
              <w:tab/>
            </w:r>
          </w:p>
          <w:p w14:paraId="625DAFF7" w14:textId="77777777"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14:paraId="3F347C1C"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5A666CAB" w14:textId="77777777" w:rsidR="0036678D" w:rsidRPr="00E21126" w:rsidRDefault="0036678D" w:rsidP="0036678D">
      <w:pPr>
        <w:spacing w:after="0"/>
        <w:jc w:val="both"/>
        <w:rPr>
          <w:rFonts w:ascii="Book Antiqua" w:hAnsi="Book Antiqua" w:cs="Arial"/>
          <w:b/>
          <w:szCs w:val="22"/>
        </w:rPr>
      </w:pPr>
    </w:p>
    <w:p w14:paraId="2663BDAE" w14:textId="77777777" w:rsidR="0036678D" w:rsidRPr="00E21126" w:rsidRDefault="0036678D" w:rsidP="0036678D">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38EDE28" w14:textId="65386554" w:rsidR="001C304C" w:rsidRDefault="0036678D" w:rsidP="001C304C">
      <w:pPr>
        <w:spacing w:after="0"/>
        <w:jc w:val="both"/>
        <w:rPr>
          <w:rFonts w:ascii="Book Antiqua" w:hAnsi="Book Antiqua"/>
          <w:b/>
          <w:bCs/>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1C304C" w:rsidRPr="001C304C">
        <w:rPr>
          <w:rFonts w:ascii="Book Antiqua" w:hAnsi="Book Antiqua"/>
          <w:b/>
          <w:bCs/>
          <w:szCs w:val="22"/>
          <w:lang w:val="en-IN"/>
        </w:rPr>
        <w:t>HVDC Terminal Package (Package-I) for ±350kV, 4 x 1250MW VSC based Symmetric monopole (Parallel) HVDC link between Pang Pooling station (Leh) and Kaithal Pooling station (Haryana) associated with Transmission system for evaluation of RE power from renewable energy parks in Leh.</w:t>
      </w:r>
      <w:r w:rsidR="00EA4A3D" w:rsidRPr="00EA4A3D">
        <w:rPr>
          <w:rFonts w:ascii="Book Antiqua" w:hAnsi="Book Antiqua"/>
          <w:b/>
          <w:bCs/>
          <w:szCs w:val="22"/>
          <w:lang w:val="en-IN"/>
        </w:rPr>
        <w:t xml:space="preserve">, Spec No: </w:t>
      </w:r>
      <w:r w:rsidR="001C304C" w:rsidRPr="001C304C">
        <w:rPr>
          <w:rFonts w:ascii="Book Antiqua" w:hAnsi="Book Antiqua"/>
          <w:b/>
          <w:bCs/>
          <w:szCs w:val="22"/>
          <w:lang w:val="en-IN"/>
        </w:rPr>
        <w:t>CC/NT/W-HVDC/DOM/A02/24/09674</w:t>
      </w:r>
    </w:p>
    <w:p w14:paraId="0653A3C4" w14:textId="3CD35C76" w:rsidR="0036678D" w:rsidRPr="00EA4A3D" w:rsidRDefault="0036678D" w:rsidP="001C304C">
      <w:pPr>
        <w:spacing w:after="0"/>
        <w:jc w:val="both"/>
        <w:rPr>
          <w:rFonts w:ascii="Book Antiqua" w:hAnsi="Book Antiqua" w:cstheme="minorBidi"/>
          <w:b/>
          <w:bCs/>
          <w:szCs w:val="22"/>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1BE3E4A" w14:textId="77777777" w:rsidR="0036678D" w:rsidRPr="00E21126" w:rsidRDefault="0036678D" w:rsidP="0036678D">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Pr="00E21126">
        <w:rPr>
          <w:rFonts w:ascii="Book Antiqua" w:hAnsi="Book Antiqua"/>
          <w:b/>
          <w:bCs/>
          <w:szCs w:val="22"/>
          <w:lang w:val="en-IN"/>
        </w:rPr>
        <w:t>Bidder</w:t>
      </w:r>
      <w:r>
        <w:rPr>
          <w:rFonts w:ascii="Book Antiqua" w:hAnsi="Book Antiqua"/>
          <w:szCs w:val="22"/>
          <w:lang w:val="en-IN"/>
        </w:rPr>
        <w:t>.</w:t>
      </w:r>
      <w:r>
        <w:rPr>
          <w:rFonts w:ascii="Book Antiqua" w:hAnsi="Book Antiqua"/>
          <w:szCs w:val="22"/>
          <w:lang w:val="en-IN"/>
        </w:rPr>
        <w:tab/>
      </w:r>
      <w:r>
        <w:rPr>
          <w:rFonts w:ascii="Book Antiqua" w:hAnsi="Book Antiqua"/>
          <w:szCs w:val="22"/>
          <w:lang w:val="en-IN"/>
        </w:rPr>
        <w:tab/>
      </w:r>
      <w:r>
        <w:rPr>
          <w:rFonts w:ascii="Book Antiqua" w:hAnsi="Book Antiqua"/>
          <w:szCs w:val="22"/>
          <w:lang w:val="en-IN"/>
        </w:rPr>
        <w:tab/>
      </w:r>
    </w:p>
    <w:p w14:paraId="0A687D8B" w14:textId="77777777" w:rsidR="0036678D" w:rsidRPr="00E21126" w:rsidRDefault="0036678D" w:rsidP="0036678D">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5A4FD1C" w14:textId="77777777" w:rsidR="0036678D" w:rsidRPr="00E21126" w:rsidRDefault="0036678D" w:rsidP="0036678D">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E21126">
        <w:rPr>
          <w:rFonts w:ascii="Book Antiqua" w:hAnsi="Book Antiqua"/>
          <w:b/>
          <w:bCs/>
          <w:szCs w:val="22"/>
          <w:lang w:val="en-IN"/>
        </w:rPr>
        <w:t>ASP</w:t>
      </w:r>
      <w:r w:rsidRPr="00E21126">
        <w:rPr>
          <w:rFonts w:ascii="Book Antiqua" w:hAnsi="Book Antiqua"/>
          <w:szCs w:val="22"/>
          <w:lang w:val="en-IN"/>
        </w:rPr>
        <w:t xml:space="preserve"> 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58EFD2F" w14:textId="77777777" w:rsidR="0036678D" w:rsidRPr="00E21126" w:rsidRDefault="0036678D" w:rsidP="0036678D">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 xml:space="preserve">confirmation of our final offered price in e-Reverse Auction including the break-up under individual head of the template </w:t>
      </w:r>
      <w:r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6F7493">
        <w:rPr>
          <w:rFonts w:ascii="Book Antiqua" w:hAnsi="Book Antiqua"/>
          <w:b/>
          <w:bCs/>
          <w:szCs w:val="22"/>
          <w:lang w:val="en-IN"/>
        </w:rPr>
        <w:t xml:space="preserve">AMC Charges, </w:t>
      </w:r>
      <w:r w:rsidRPr="00AC5E17">
        <w:rPr>
          <w:rFonts w:ascii="Book Antiqua" w:hAnsi="Book Antiqua"/>
          <w:b/>
          <w:bCs/>
          <w:szCs w:val="22"/>
          <w:lang w:val="en-IN"/>
        </w:rPr>
        <w:t xml:space="preserve">Customs Duty, GST for supply of Goods and Installation Services etc., as applicable] </w:t>
      </w:r>
      <w:r w:rsidRPr="00AC5E17">
        <w:rPr>
          <w:rFonts w:ascii="Book Antiqua" w:hAnsi="Book Antiqua"/>
          <w:szCs w:val="22"/>
          <w:lang w:val="en-IN"/>
        </w:rPr>
        <w:t xml:space="preserve">Further, unless other-wise stated in the above break-up, decrease in the </w:t>
      </w:r>
      <w:r w:rsidRPr="00AC5E17">
        <w:rPr>
          <w:rFonts w:ascii="Book Antiqua" w:hAnsi="Book Antiqua"/>
          <w:szCs w:val="22"/>
          <w:lang w:val="en-IN"/>
        </w:rPr>
        <w:lastRenderedPageBreak/>
        <w:t>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99397AA" w14:textId="77777777" w:rsidR="0036678D" w:rsidRPr="00E21126" w:rsidRDefault="0036678D" w:rsidP="0036678D">
      <w:pPr>
        <w:rPr>
          <w:rFonts w:ascii="Book Antiqua" w:hAnsi="Book Antiqua"/>
          <w:szCs w:val="22"/>
          <w:lang w:val="en-IN"/>
        </w:rPr>
      </w:pPr>
      <w:r w:rsidRPr="00E21126">
        <w:rPr>
          <w:rFonts w:ascii="Book Antiqua" w:hAnsi="Book Antiqua"/>
          <w:szCs w:val="22"/>
          <w:lang w:val="en-IN"/>
        </w:rPr>
        <w:t xml:space="preserve">We hereby confirm that we will honor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E2E3951" w14:textId="77777777" w:rsidR="0036678D" w:rsidRPr="00E21126" w:rsidRDefault="0036678D" w:rsidP="0036678D">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E5982C3" w14:textId="77777777" w:rsidR="0036678D" w:rsidRPr="00E21126" w:rsidRDefault="0036678D" w:rsidP="0036678D">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6AFA3E5E" w14:textId="77777777" w:rsidR="0036678D" w:rsidRPr="00E21126" w:rsidRDefault="0036678D" w:rsidP="0036678D">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D377996" w14:textId="77777777" w:rsidR="0036678D" w:rsidRPr="00E21126" w:rsidRDefault="0036678D" w:rsidP="0036678D">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440367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5E75B424"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48CA550"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8C99B" w14:textId="77777777" w:rsidR="005B675C" w:rsidRDefault="005B675C" w:rsidP="00177A9C">
      <w:pPr>
        <w:spacing w:after="0" w:line="240" w:lineRule="auto"/>
      </w:pPr>
      <w:r>
        <w:separator/>
      </w:r>
    </w:p>
  </w:endnote>
  <w:endnote w:type="continuationSeparator" w:id="0">
    <w:p w14:paraId="075B32ED" w14:textId="77777777" w:rsidR="005B675C" w:rsidRDefault="005B675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CE05A"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245E8">
      <w:rPr>
        <w:rFonts w:ascii="Book Antiqua" w:hAnsi="Book Antiqua"/>
        <w:b/>
        <w:noProof/>
      </w:rPr>
      <w:t>2</w:t>
    </w:r>
    <w:r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7D5DB" w14:textId="77777777" w:rsidR="005B675C" w:rsidRDefault="005B675C" w:rsidP="00177A9C">
      <w:pPr>
        <w:spacing w:after="0" w:line="240" w:lineRule="auto"/>
      </w:pPr>
      <w:r>
        <w:separator/>
      </w:r>
    </w:p>
  </w:footnote>
  <w:footnote w:type="continuationSeparator" w:id="0">
    <w:p w14:paraId="3D440175" w14:textId="77777777" w:rsidR="005B675C" w:rsidRDefault="005B675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A32E4" w14:textId="3B647A0C" w:rsidR="00177A9C" w:rsidRPr="00700365" w:rsidRDefault="00700365" w:rsidP="00700365">
    <w:pPr>
      <w:spacing w:after="0" w:line="240" w:lineRule="auto"/>
      <w:rPr>
        <w:rFonts w:ascii="Book Antiqua" w:hAnsi="Book Antiqua" w:cs="Arial"/>
        <w:b/>
      </w:rPr>
    </w:pPr>
    <w:r w:rsidRPr="00700365">
      <w:rPr>
        <w:rFonts w:ascii="Book Antiqua" w:hAnsi="Book Antiqua" w:cs="Arial"/>
        <w:b/>
        <w:bCs/>
        <w:szCs w:val="24"/>
      </w:rPr>
      <w:t xml:space="preserve">Spec No: </w:t>
    </w:r>
    <w:r w:rsidR="001C304C" w:rsidRPr="001C304C">
      <w:rPr>
        <w:rFonts w:ascii="Book Antiqua" w:hAnsi="Book Antiqua"/>
        <w:b/>
        <w:bCs/>
        <w:szCs w:val="22"/>
        <w:lang w:val="en-GB"/>
      </w:rPr>
      <w:t>CC/NT/W-HVDC/DOM/A02/24/09674</w:t>
    </w:r>
    <w:r w:rsidR="001C304C">
      <w:rPr>
        <w:rFonts w:ascii="Book Antiqua" w:hAnsi="Book Antiqua"/>
        <w:b/>
        <w:bCs/>
        <w:szCs w:val="22"/>
        <w:lang w:val="en-GB"/>
      </w:rPr>
      <w:t xml:space="preserve">                                               </w:t>
    </w:r>
    <w:r w:rsidR="00177A9C" w:rsidRPr="00700365">
      <w:rPr>
        <w:rFonts w:ascii="Book Antiqua" w:hAnsi="Book Antiqua" w:cs="Arial"/>
        <w:b/>
      </w:rPr>
      <w:t>Attachment</w:t>
    </w:r>
    <w:r>
      <w:rPr>
        <w:rFonts w:ascii="Book Antiqua" w:hAnsi="Book Antiqua" w:cs="Arial"/>
        <w:b/>
      </w:rPr>
      <w:t>-</w:t>
    </w:r>
    <w:r w:rsidR="005A4959" w:rsidRPr="00700365">
      <w:rPr>
        <w:rFonts w:ascii="Book Antiqua" w:hAnsi="Book Antiqua" w:cs="Arial"/>
        <w:b/>
      </w:rPr>
      <w:t>1</w:t>
    </w:r>
    <w:r w:rsidR="00AD3EE6" w:rsidRPr="00700365">
      <w:rPr>
        <w:rFonts w:ascii="Book Antiqua" w:hAnsi="Book Antiqua" w:cs="Arial"/>
        <w:b/>
      </w:rPr>
      <w:t>6</w:t>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r w:rsidR="00177A9C" w:rsidRPr="00700365">
      <w:rPr>
        <w:rFonts w:ascii="Book Antiqua" w:hAnsi="Book Antiqua"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7554"/>
    <w:rsid w:val="00024EF2"/>
    <w:rsid w:val="00081397"/>
    <w:rsid w:val="000B143F"/>
    <w:rsid w:val="000D1D04"/>
    <w:rsid w:val="00127E15"/>
    <w:rsid w:val="00164987"/>
    <w:rsid w:val="00177A9C"/>
    <w:rsid w:val="00195DAC"/>
    <w:rsid w:val="001C304C"/>
    <w:rsid w:val="00233D06"/>
    <w:rsid w:val="0024709C"/>
    <w:rsid w:val="002C317E"/>
    <w:rsid w:val="002E3CE6"/>
    <w:rsid w:val="0036678D"/>
    <w:rsid w:val="003833D2"/>
    <w:rsid w:val="003C278F"/>
    <w:rsid w:val="003E4CD0"/>
    <w:rsid w:val="00423632"/>
    <w:rsid w:val="00501B73"/>
    <w:rsid w:val="005A4959"/>
    <w:rsid w:val="005B675C"/>
    <w:rsid w:val="00651959"/>
    <w:rsid w:val="006643A3"/>
    <w:rsid w:val="00673879"/>
    <w:rsid w:val="006F7493"/>
    <w:rsid w:val="00700365"/>
    <w:rsid w:val="00742A80"/>
    <w:rsid w:val="007959FD"/>
    <w:rsid w:val="007A023B"/>
    <w:rsid w:val="007E0B9F"/>
    <w:rsid w:val="007E5389"/>
    <w:rsid w:val="008073D1"/>
    <w:rsid w:val="008340AE"/>
    <w:rsid w:val="008832C6"/>
    <w:rsid w:val="00914970"/>
    <w:rsid w:val="00917006"/>
    <w:rsid w:val="00A54A14"/>
    <w:rsid w:val="00AD3EE6"/>
    <w:rsid w:val="00B109C3"/>
    <w:rsid w:val="00B37C19"/>
    <w:rsid w:val="00B71258"/>
    <w:rsid w:val="00BC0DE7"/>
    <w:rsid w:val="00BC20B2"/>
    <w:rsid w:val="00C2314E"/>
    <w:rsid w:val="00C6058F"/>
    <w:rsid w:val="00CB7BD6"/>
    <w:rsid w:val="00CC54E9"/>
    <w:rsid w:val="00CE3AC2"/>
    <w:rsid w:val="00CE7695"/>
    <w:rsid w:val="00D100EE"/>
    <w:rsid w:val="00D565D5"/>
    <w:rsid w:val="00D97E41"/>
    <w:rsid w:val="00DB345B"/>
    <w:rsid w:val="00DD642A"/>
    <w:rsid w:val="00E245E8"/>
    <w:rsid w:val="00E3348D"/>
    <w:rsid w:val="00EA4A3D"/>
    <w:rsid w:val="00EB4DAD"/>
    <w:rsid w:val="00F90B94"/>
    <w:rsid w:val="00F965C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FCCD4A"/>
  <w15:docId w15:val="{04605A7A-AEBA-4B61-85DD-0A0B3BCB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36678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34</cp:revision>
  <cp:lastPrinted>2018-09-20T10:30:00Z</cp:lastPrinted>
  <dcterms:created xsi:type="dcterms:W3CDTF">2018-07-24T09:02:00Z</dcterms:created>
  <dcterms:modified xsi:type="dcterms:W3CDTF">2024-07-18T09:46:00Z</dcterms:modified>
</cp:coreProperties>
</file>